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Mezine (Ukraine) est un site archéologique daté d’environ 24000 ans célèbre par sa hutte en os de mammouth (</w:t>
      </w:r>
      <w:hyperlink r:id="rId2">
        <w:r>
          <w:rPr>
            <w:rStyle w:val="InternetLink"/>
            <w:rFonts w:ascii="Cambria;Georgia;Times New Roman;Times;serif" w:hAnsi="Cambria;Georgia;Times New Roman;Times;serif"/>
            <w:b w:val="false"/>
            <w:i w:val="false"/>
            <w:caps w:val="false"/>
            <w:smallCaps w:val="false"/>
            <w:color w:val="000099"/>
            <w:spacing w:val="0"/>
            <w:sz w:val="24"/>
            <w:u w:val="single"/>
          </w:rPr>
          <w:t>http://donsmaps.com/wolfcamp.html</w:t>
        </w:r>
      </w:hyperlink>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restes d’</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conservés à l’Institut de Zoologie de Kiev, ne sont pas très nombreux mais assez bien conservés. Ils ne semblent pas homogènes, probablement à cause de mélanges de matériel provenant de fouilles plus ou moins anciennes.</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Par ses proportions squelettiques générales, le cheval de Mezine ne se distingue pas des autres chevaux du Pléistocène supérieur qu’ils viennent d’Europe Occidentale (Jaurens, France), des rives du Don (Kostenki) ou de Mongolie (Botaà¯) </w:t>
      </w:r>
      <w:hyperlink r:id="rId3">
        <w:r>
          <w:rPr>
            <w:rStyle w:val="InternetLink"/>
            <w:rFonts w:ascii="Cambria;Georgia;Times New Roman;Times;serif" w:hAnsi="Cambria;Georgia;Times New Roman;Times;serif"/>
            <w:b w:val="false"/>
            <w:i w:val="false"/>
            <w:caps w:val="false"/>
            <w:smallCaps w:val="false"/>
            <w:color w:val="000000"/>
            <w:spacing w:val="0"/>
            <w:sz w:val="24"/>
            <w:u w:val="single"/>
          </w:rPr>
          <w:t>150.Chevaux de BotaÃ¯, chevaux récents et souches possibles de domestication. In : Les Equidés dans le monde méditerranéen antique</w:t>
        </w:r>
      </w:hyperlink>
      <w:r>
        <w:rPr>
          <w:rFonts w:ascii="Cambria;Georgia;Times New Roman;Times;serif" w:hAnsi="Cambria;Georgia;Times New Roman;Times;serif"/>
          <w:b w:val="false"/>
          <w:i w:val="false"/>
          <w:caps w:val="false"/>
          <w:smallCaps w:val="false"/>
          <w:color w:val="000000"/>
          <w:spacing w:val="0"/>
          <w:sz w:val="24"/>
        </w:rPr>
        <w:t>. La très grande largeur des troisièmes phalanges justifie son attribution à </w:t>
      </w:r>
      <w:r>
        <w:rPr>
          <w:rFonts w:ascii="inherit" w:hAnsi="inherit"/>
          <w:b w:val="false"/>
          <w:i/>
          <w:caps w:val="false"/>
          <w:smallCaps w:val="false"/>
          <w:color w:val="000000"/>
          <w:spacing w:val="0"/>
          <w:sz w:val="24"/>
        </w:rPr>
        <w:t>E. latipes</w:t>
      </w:r>
      <w:r>
        <w:rPr>
          <w:rFonts w:ascii="Cambria;Georgia;Times New Roman;Times;serif" w:hAnsi="Cambria;Georgia;Times New Roman;Times;serif"/>
          <w:b w:val="false"/>
          <w:i w:val="false"/>
          <w:caps w:val="false"/>
          <w:smallCaps w:val="false"/>
          <w:color w:val="000000"/>
          <w:spacing w:val="0"/>
          <w:sz w:val="24"/>
        </w:rPr>
        <w:t> (espèce décrite à Kostenki).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nsmaps.com/wolfcamp.html" TargetMode="External"/><Relationship Id="rId3" Type="http://schemas.openxmlformats.org/officeDocument/2006/relationships/hyperlink" Target="https://vera-eisenmann.com/ecrire/?exec=article&amp;id_article=1119"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LibreOffice/7.4.3.2$Windows_X86_64 LibreOffice_project/1048a8393ae2eeec98dff31b5c133c5f1d08b890</Application>
  <AppVersion>15.0000</AppVersion>
  <Pages>1</Pages>
  <Words>127</Words>
  <Characters>741</Characters>
  <CharactersWithSpaces>865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2024-08-02T16:53:00Z</dcterms:created>
  <dc:creator/>
  <dc:description/>
  <dc:language>en-US</dc:language>
  <cp:lastModifiedBy/>
  <dcterms:modified xsi:type="dcterms:W3CDTF">2024-08-02T17:08:02Z</dcterms:modified>
  <cp:revision>4</cp:revision>
  <dc:subject/>
  <dc:title/>
</cp:coreProperties>
</file>